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FC" w:rsidRPr="00397687" w:rsidRDefault="001E1B8A" w:rsidP="008A59F9">
      <w:pPr>
        <w:pStyle w:val="NoSpacing"/>
        <w:rPr>
          <w:sz w:val="24"/>
        </w:rPr>
      </w:pPr>
      <w:r w:rsidRPr="00397687">
        <w:rPr>
          <w:sz w:val="24"/>
        </w:rPr>
        <w:t>Bacteria → Gm- → Coccus → Neisseria</w:t>
      </w:r>
    </w:p>
    <w:p w:rsidR="004D17FC" w:rsidRDefault="004D17FC" w:rsidP="008A59F9">
      <w:pPr>
        <w:pStyle w:val="NoSpacing"/>
        <w:numPr>
          <w:ilvl w:val="0"/>
          <w:numId w:val="1"/>
        </w:numPr>
      </w:pPr>
      <w:r>
        <w:t>Eikenella – E. corrodens – normal of URT | Opportunistic pathogen, usually after fistfight</w:t>
      </w:r>
    </w:p>
    <w:p w:rsidR="004D17FC" w:rsidRDefault="004D17FC" w:rsidP="008A59F9">
      <w:pPr>
        <w:pStyle w:val="NoSpacing"/>
        <w:numPr>
          <w:ilvl w:val="0"/>
          <w:numId w:val="1"/>
        </w:numPr>
      </w:pPr>
      <w:r>
        <w:t>Kingella – K. kingae – normal of URT | Can disseminate →</w:t>
      </w:r>
      <w:r w:rsidR="008A59F9">
        <w:t xml:space="preserve"> arthritis or endocar</w:t>
      </w:r>
      <w:r>
        <w:t>ditis</w:t>
      </w:r>
    </w:p>
    <w:p w:rsidR="008A59F9" w:rsidRDefault="008A59F9" w:rsidP="008A59F9">
      <w:pPr>
        <w:pStyle w:val="NoSpacing"/>
        <w:numPr>
          <w:ilvl w:val="0"/>
          <w:numId w:val="1"/>
        </w:numPr>
      </w:pPr>
      <w:r>
        <w:t>Neisseria (2 human-specific</w:t>
      </w:r>
      <w:r w:rsidR="00397687">
        <w:t>)</w:t>
      </w:r>
    </w:p>
    <w:p w:rsidR="008A59F9" w:rsidRDefault="008A59F9" w:rsidP="008A59F9">
      <w:pPr>
        <w:pStyle w:val="NoSpacing"/>
        <w:numPr>
          <w:ilvl w:val="1"/>
          <w:numId w:val="1"/>
        </w:numPr>
      </w:pPr>
      <w:r>
        <w:t>Aerobic | Non-motile | Gm- | Oxidase + | Catalase +</w:t>
      </w:r>
    </w:p>
    <w:p w:rsidR="008A59F9" w:rsidRDefault="008A59F9" w:rsidP="008A59F9">
      <w:pPr>
        <w:pStyle w:val="NoSpacing"/>
        <w:numPr>
          <w:ilvl w:val="1"/>
          <w:numId w:val="1"/>
        </w:numPr>
      </w:pPr>
      <w:r>
        <w:t>Virulence factors</w:t>
      </w:r>
    </w:p>
    <w:p w:rsidR="008A59F9" w:rsidRDefault="008A59F9" w:rsidP="008A59F9">
      <w:pPr>
        <w:pStyle w:val="NoSpacing"/>
        <w:numPr>
          <w:ilvl w:val="2"/>
          <w:numId w:val="1"/>
        </w:numPr>
      </w:pPr>
      <w:r>
        <w:t>Pili – Bring bacteria close to host cell | Have phase variation and antigenic variation</w:t>
      </w:r>
    </w:p>
    <w:p w:rsidR="008A59F9" w:rsidRDefault="008A59F9" w:rsidP="008A59F9">
      <w:pPr>
        <w:pStyle w:val="NoSpacing"/>
        <w:numPr>
          <w:ilvl w:val="2"/>
          <w:numId w:val="1"/>
        </w:numPr>
      </w:pPr>
      <w:r>
        <w:t>Opa – Mediate tight adherence + invasion of host | Multiple alleles to bind to R types</w:t>
      </w:r>
    </w:p>
    <w:p w:rsidR="008A59F9" w:rsidRDefault="008A59F9" w:rsidP="008A59F9">
      <w:pPr>
        <w:pStyle w:val="NoSpacing"/>
        <w:numPr>
          <w:ilvl w:val="2"/>
          <w:numId w:val="1"/>
        </w:numPr>
      </w:pPr>
      <w:r>
        <w:t>LOS (Lipooligosaccharide) – Similar to LPS but without O-Ag polysaccharide</w:t>
      </w:r>
    </w:p>
    <w:p w:rsidR="00761EFB" w:rsidRDefault="00761EFB" w:rsidP="008A59F9">
      <w:pPr>
        <w:pStyle w:val="NoSpacing"/>
        <w:numPr>
          <w:ilvl w:val="2"/>
          <w:numId w:val="1"/>
        </w:numPr>
      </w:pPr>
      <w:r>
        <w:t>IgA protease</w:t>
      </w:r>
    </w:p>
    <w:p w:rsidR="00761EFB" w:rsidRDefault="00761EFB" w:rsidP="008A59F9">
      <w:pPr>
        <w:pStyle w:val="NoSpacing"/>
        <w:numPr>
          <w:ilvl w:val="2"/>
          <w:numId w:val="1"/>
        </w:numPr>
      </w:pPr>
      <w:r>
        <w:t>Several mechanisms to evade complement</w:t>
      </w:r>
    </w:p>
    <w:p w:rsidR="00761EFB" w:rsidRDefault="00761EFB" w:rsidP="008A59F9">
      <w:pPr>
        <w:pStyle w:val="NoSpacing"/>
        <w:numPr>
          <w:ilvl w:val="2"/>
          <w:numId w:val="1"/>
        </w:numPr>
      </w:pPr>
      <w:r>
        <w:t>Peptidoglycan fragments</w:t>
      </w:r>
    </w:p>
    <w:p w:rsidR="00761EFB" w:rsidRDefault="00761EFB" w:rsidP="008A59F9">
      <w:pPr>
        <w:pStyle w:val="NoSpacing"/>
        <w:numPr>
          <w:ilvl w:val="2"/>
          <w:numId w:val="1"/>
        </w:numPr>
      </w:pPr>
      <w:r>
        <w:t>Porin proteins</w:t>
      </w:r>
    </w:p>
    <w:p w:rsidR="00761EFB" w:rsidRDefault="00761EFB" w:rsidP="008A59F9">
      <w:pPr>
        <w:pStyle w:val="NoSpacing"/>
        <w:numPr>
          <w:ilvl w:val="2"/>
          <w:numId w:val="1"/>
        </w:numPr>
      </w:pPr>
      <w:r>
        <w:t>Iron acquisition Proteins – No siderophorins | Have R that bind directly to host Fe molecules</w:t>
      </w:r>
    </w:p>
    <w:p w:rsidR="00C10868" w:rsidRPr="007650B8" w:rsidRDefault="00C10868" w:rsidP="00C10868">
      <w:pPr>
        <w:pStyle w:val="NoSpacing"/>
        <w:numPr>
          <w:ilvl w:val="1"/>
          <w:numId w:val="1"/>
        </w:numPr>
        <w:rPr>
          <w:b/>
        </w:rPr>
      </w:pPr>
      <w:r w:rsidRPr="007650B8">
        <w:rPr>
          <w:b/>
        </w:rPr>
        <w:t>N. gonorrhoeae</w:t>
      </w:r>
    </w:p>
    <w:p w:rsidR="00C10868" w:rsidRDefault="00915499" w:rsidP="00C10868">
      <w:pPr>
        <w:pStyle w:val="NoSpacing"/>
        <w:numPr>
          <w:ilvl w:val="2"/>
          <w:numId w:val="1"/>
        </w:numPr>
      </w:pPr>
      <w:r>
        <w:t>Clinical Implications</w:t>
      </w:r>
    </w:p>
    <w:p w:rsidR="00632958" w:rsidRDefault="00632958" w:rsidP="00632958">
      <w:pPr>
        <w:pStyle w:val="NoSpacing"/>
        <w:numPr>
          <w:ilvl w:val="3"/>
          <w:numId w:val="1"/>
        </w:numPr>
      </w:pPr>
      <w:r>
        <w:t>Major cause of urogenital disease (2</w:t>
      </w:r>
      <w:r w:rsidRPr="00632958">
        <w:rPr>
          <w:vertAlign w:val="superscript"/>
        </w:rPr>
        <w:t>nd</w:t>
      </w:r>
      <w:r>
        <w:t xml:space="preserve"> highest in US)</w:t>
      </w:r>
    </w:p>
    <w:p w:rsidR="00632958" w:rsidRDefault="00632958" w:rsidP="00632958">
      <w:pPr>
        <w:pStyle w:val="NoSpacing"/>
        <w:numPr>
          <w:ilvl w:val="3"/>
          <w:numId w:val="1"/>
        </w:numPr>
      </w:pPr>
      <w:r>
        <w:t>Often symptomatic, esp in women</w:t>
      </w:r>
    </w:p>
    <w:p w:rsidR="00632958" w:rsidRDefault="00632958" w:rsidP="00632958">
      <w:pPr>
        <w:pStyle w:val="NoSpacing"/>
        <w:numPr>
          <w:ilvl w:val="3"/>
          <w:numId w:val="1"/>
        </w:numPr>
      </w:pPr>
      <w:r>
        <w:t>If untreated → severe reproductive complications</w:t>
      </w:r>
      <w:r>
        <w:tab/>
      </w:r>
    </w:p>
    <w:p w:rsidR="002400A8" w:rsidRDefault="00632958" w:rsidP="00632958">
      <w:pPr>
        <w:pStyle w:val="NoSpacing"/>
        <w:numPr>
          <w:ilvl w:val="4"/>
          <w:numId w:val="1"/>
        </w:numPr>
      </w:pPr>
      <w:r>
        <w:t>Pelvic Inflammatory Disease</w:t>
      </w:r>
    </w:p>
    <w:p w:rsidR="00632958" w:rsidRDefault="002400A8" w:rsidP="002400A8">
      <w:pPr>
        <w:pStyle w:val="NoSpacing"/>
        <w:numPr>
          <w:ilvl w:val="5"/>
          <w:numId w:val="1"/>
        </w:numPr>
      </w:pPr>
      <w:r>
        <w:t>Infection of fallopian tube → severe salpingitis, adhesions, scarring</w:t>
      </w:r>
    </w:p>
    <w:p w:rsidR="00600B6E" w:rsidRDefault="00600B6E" w:rsidP="00600B6E">
      <w:pPr>
        <w:pStyle w:val="NoSpacing"/>
        <w:numPr>
          <w:ilvl w:val="6"/>
          <w:numId w:val="1"/>
        </w:numPr>
      </w:pPr>
      <w:r>
        <w:t>→ Major cause of sterility + ectopic pregnancy</w:t>
      </w:r>
    </w:p>
    <w:p w:rsidR="00600B6E" w:rsidRDefault="00600B6E" w:rsidP="00600B6E">
      <w:pPr>
        <w:pStyle w:val="NoSpacing"/>
        <w:numPr>
          <w:ilvl w:val="5"/>
          <w:numId w:val="1"/>
        </w:numPr>
      </w:pPr>
      <w:r>
        <w:t>Results in adverse children effects →</w:t>
      </w:r>
      <w:r w:rsidR="00E54BFB">
        <w:t xml:space="preserve"> blindness, j</w:t>
      </w:r>
      <w:r>
        <w:t>t</w:t>
      </w:r>
      <w:r w:rsidR="00E54BFB">
        <w:t>.</w:t>
      </w:r>
      <w:r>
        <w:t xml:space="preserve"> infection, septicemia</w:t>
      </w:r>
    </w:p>
    <w:p w:rsidR="00E54BFB" w:rsidRDefault="00E54BFB" w:rsidP="00E54BFB">
      <w:pPr>
        <w:pStyle w:val="NoSpacing"/>
        <w:numPr>
          <w:ilvl w:val="2"/>
          <w:numId w:val="1"/>
        </w:numPr>
      </w:pPr>
      <w:r>
        <w:t>Epidemiology</w:t>
      </w:r>
    </w:p>
    <w:p w:rsidR="00E54BFB" w:rsidRDefault="00E54BFB" w:rsidP="00E54BFB">
      <w:pPr>
        <w:pStyle w:val="NoSpacing"/>
        <w:numPr>
          <w:ilvl w:val="3"/>
          <w:numId w:val="1"/>
        </w:numPr>
      </w:pPr>
      <w:r>
        <w:t>Incidence dropped with use of barrier contraception</w:t>
      </w:r>
    </w:p>
    <w:p w:rsidR="00E54BFB" w:rsidRDefault="00E54BFB" w:rsidP="00E54BFB">
      <w:pPr>
        <w:pStyle w:val="NoSpacing"/>
        <w:numPr>
          <w:ilvl w:val="3"/>
          <w:numId w:val="1"/>
        </w:numPr>
      </w:pPr>
      <w:r>
        <w:t>Risk groups: Young age | Southwestern US | African-American | Inconsistent barrier use</w:t>
      </w:r>
    </w:p>
    <w:p w:rsidR="00E54BFB" w:rsidRDefault="00E54BFB" w:rsidP="00E54BFB">
      <w:pPr>
        <w:pStyle w:val="NoSpacing"/>
        <w:numPr>
          <w:ilvl w:val="3"/>
          <w:numId w:val="1"/>
        </w:numPr>
      </w:pPr>
      <w:r>
        <w:t>Incidence same in both sexes, men just have higher reporting</w:t>
      </w:r>
    </w:p>
    <w:p w:rsidR="00E54BFB" w:rsidRDefault="00E54BFB" w:rsidP="00E54BFB">
      <w:pPr>
        <w:pStyle w:val="NoSpacing"/>
        <w:numPr>
          <w:ilvl w:val="3"/>
          <w:numId w:val="1"/>
        </w:numPr>
      </w:pPr>
      <w:r>
        <w:t>→ Concern is about the new Antibiotic R strains</w:t>
      </w:r>
    </w:p>
    <w:p w:rsidR="00E54BFB" w:rsidRDefault="00E54BFB" w:rsidP="00E54BFB">
      <w:pPr>
        <w:pStyle w:val="NoSpacing"/>
        <w:numPr>
          <w:ilvl w:val="2"/>
          <w:numId w:val="1"/>
        </w:numPr>
      </w:pPr>
      <w:r>
        <w:t>Pathophysiology</w:t>
      </w:r>
      <w:r w:rsidR="00D54DB5">
        <w:t xml:space="preserve"> – Transmitted during vaginal/anal sex</w:t>
      </w:r>
    </w:p>
    <w:p w:rsidR="00D54DB5" w:rsidRDefault="00D54DB5" w:rsidP="00D54DB5">
      <w:pPr>
        <w:pStyle w:val="NoSpacing"/>
        <w:numPr>
          <w:ilvl w:val="3"/>
          <w:numId w:val="1"/>
        </w:numPr>
      </w:pPr>
      <w:r>
        <w:t>Infects single-cell columnar epithelial layers</w:t>
      </w:r>
    </w:p>
    <w:p w:rsidR="00D54DB5" w:rsidRDefault="00D54DB5" w:rsidP="00D54DB5">
      <w:pPr>
        <w:pStyle w:val="NoSpacing"/>
        <w:numPr>
          <w:ilvl w:val="3"/>
          <w:numId w:val="1"/>
        </w:numPr>
      </w:pPr>
      <w:r>
        <w:t>Invade, transcytose, establish inf</w:t>
      </w:r>
      <w:r w:rsidR="00C43950">
        <w:t>ection</w:t>
      </w:r>
      <w:r>
        <w:t>, kill epithelial cell</w:t>
      </w:r>
    </w:p>
    <w:p w:rsidR="00D54DB5" w:rsidRDefault="00D54DB5" w:rsidP="00D54DB5">
      <w:pPr>
        <w:pStyle w:val="NoSpacing"/>
        <w:numPr>
          <w:ilvl w:val="4"/>
          <w:numId w:val="1"/>
        </w:numPr>
      </w:pPr>
      <w:r>
        <w:t>Can become asymptomatic if untreated</w:t>
      </w:r>
    </w:p>
    <w:p w:rsidR="00D54DB5" w:rsidRDefault="00D54DB5" w:rsidP="00D54DB5">
      <w:pPr>
        <w:pStyle w:val="NoSpacing"/>
        <w:numPr>
          <w:ilvl w:val="4"/>
          <w:numId w:val="1"/>
        </w:numPr>
      </w:pPr>
      <w:r>
        <w:t>Can become subclinical, esp in females → deadly during childbirth</w:t>
      </w:r>
    </w:p>
    <w:p w:rsidR="003B3D64" w:rsidRDefault="003B3D64" w:rsidP="003B3D64">
      <w:pPr>
        <w:pStyle w:val="NoSpacing"/>
        <w:numPr>
          <w:ilvl w:val="3"/>
          <w:numId w:val="1"/>
        </w:numPr>
      </w:pPr>
      <w:r>
        <w:t>May ascend into fallopian tube → PID</w:t>
      </w:r>
    </w:p>
    <w:p w:rsidR="001F349C" w:rsidRDefault="001F349C" w:rsidP="001F349C">
      <w:pPr>
        <w:pStyle w:val="NoSpacing"/>
        <w:numPr>
          <w:ilvl w:val="2"/>
          <w:numId w:val="1"/>
        </w:numPr>
      </w:pPr>
      <w:r>
        <w:t>Gonococcemia ← usually from untreated asymptomatic infection that disseminates thru blood</w:t>
      </w:r>
    </w:p>
    <w:p w:rsidR="001F349C" w:rsidRDefault="001F349C" w:rsidP="001F349C">
      <w:pPr>
        <w:pStyle w:val="NoSpacing"/>
        <w:numPr>
          <w:ilvl w:val="3"/>
          <w:numId w:val="1"/>
        </w:numPr>
      </w:pPr>
      <w:r>
        <w:t>Skin lesions (75%) – Usually on extremities + trunk</w:t>
      </w:r>
    </w:p>
    <w:p w:rsidR="001F349C" w:rsidRDefault="001F349C" w:rsidP="001F349C">
      <w:pPr>
        <w:pStyle w:val="NoSpacing"/>
        <w:numPr>
          <w:ilvl w:val="3"/>
          <w:numId w:val="1"/>
        </w:numPr>
      </w:pPr>
      <w:r>
        <w:t>Polyarthralgia (arthritis in multiple joints) – many have complement deficiencies</w:t>
      </w:r>
    </w:p>
    <w:p w:rsidR="001F349C" w:rsidRDefault="001F349C" w:rsidP="001F349C">
      <w:pPr>
        <w:pStyle w:val="NoSpacing"/>
        <w:numPr>
          <w:ilvl w:val="3"/>
          <w:numId w:val="1"/>
        </w:numPr>
      </w:pPr>
      <w:r>
        <w:t>D: Gm stain | Culture on chocolate agar | Urine test | PCR test</w:t>
      </w:r>
    </w:p>
    <w:p w:rsidR="001F349C" w:rsidRDefault="001F349C" w:rsidP="001F349C">
      <w:pPr>
        <w:pStyle w:val="NoSpacing"/>
        <w:numPr>
          <w:ilvl w:val="3"/>
          <w:numId w:val="1"/>
        </w:numPr>
      </w:pPr>
      <w:r>
        <w:t>T: DOC – 3</w:t>
      </w:r>
      <w:r w:rsidRPr="001F349C">
        <w:rPr>
          <w:vertAlign w:val="superscript"/>
        </w:rPr>
        <w:t>rd</w:t>
      </w:r>
      <w:r>
        <w:t xml:space="preserve"> gen Cephalosporin with Doxy (2x for 7days) or Azi (1 dose)</w:t>
      </w:r>
    </w:p>
    <w:p w:rsidR="00B30CA6" w:rsidRDefault="00B30CA6" w:rsidP="00B30CA6">
      <w:pPr>
        <w:pStyle w:val="NoSpacing"/>
        <w:numPr>
          <w:ilvl w:val="4"/>
          <w:numId w:val="1"/>
        </w:numPr>
      </w:pPr>
      <w:r>
        <w:t>Need to be wary of Antibiotic R</w:t>
      </w:r>
    </w:p>
    <w:p w:rsidR="004E253E" w:rsidRPr="007650B8" w:rsidRDefault="004E253E" w:rsidP="004E253E">
      <w:pPr>
        <w:pStyle w:val="NoSpacing"/>
        <w:numPr>
          <w:ilvl w:val="1"/>
          <w:numId w:val="1"/>
        </w:numPr>
        <w:rPr>
          <w:b/>
        </w:rPr>
      </w:pPr>
      <w:r w:rsidRPr="007650B8">
        <w:rPr>
          <w:b/>
        </w:rPr>
        <w:t>N. meningitides</w:t>
      </w:r>
    </w:p>
    <w:p w:rsidR="004E253E" w:rsidRDefault="004E253E" w:rsidP="004E253E">
      <w:pPr>
        <w:pStyle w:val="NoSpacing"/>
        <w:numPr>
          <w:ilvl w:val="2"/>
          <w:numId w:val="1"/>
        </w:numPr>
      </w:pPr>
      <w:r>
        <w:t>Most cases are meningitis b/w 0.5-2 yrs age | seasonal</w:t>
      </w:r>
    </w:p>
    <w:p w:rsidR="004E253E" w:rsidRDefault="004E253E" w:rsidP="004E253E">
      <w:pPr>
        <w:pStyle w:val="NoSpacing"/>
        <w:numPr>
          <w:ilvl w:val="2"/>
          <w:numId w:val="1"/>
        </w:numPr>
      </w:pPr>
      <w:r>
        <w:t>With treatment – 10-15% die | Survivors – 20% have sequelae</w:t>
      </w:r>
    </w:p>
    <w:p w:rsidR="00767993" w:rsidRDefault="00767993" w:rsidP="004E253E">
      <w:pPr>
        <w:pStyle w:val="NoSpacing"/>
        <w:numPr>
          <w:ilvl w:val="2"/>
          <w:numId w:val="1"/>
        </w:numPr>
      </w:pPr>
      <w:r>
        <w:t>Epidemiology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Common in sub-Saharan African countries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Transmitted by aerosol or via close contact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Risk groups: Young age | Crowded area | Complement Def. | Recent URTI | Smoking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Asymptomatic carriage is common | Once disseminated, can easily cross BBB</w:t>
      </w:r>
    </w:p>
    <w:p w:rsidR="00767993" w:rsidRDefault="00767993" w:rsidP="00767993">
      <w:pPr>
        <w:pStyle w:val="NoSpacing"/>
        <w:numPr>
          <w:ilvl w:val="2"/>
          <w:numId w:val="1"/>
        </w:numPr>
      </w:pPr>
      <w:r>
        <w:lastRenderedPageBreak/>
        <w:t>T: WHO had a reactive immunization strategy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Gates foundation donated $70 million to a more preventive vaccine | No implemented</w:t>
      </w:r>
    </w:p>
    <w:p w:rsidR="00767993" w:rsidRDefault="00767993" w:rsidP="00767993">
      <w:pPr>
        <w:pStyle w:val="NoSpacing"/>
        <w:numPr>
          <w:ilvl w:val="2"/>
          <w:numId w:val="1"/>
        </w:numPr>
      </w:pPr>
      <w:r>
        <w:t>Virulence Factor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Capsule – most important unique aspect at 13 serotypes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R to uptake + clearance | Has invasive properties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Type B is identical to ones produced in humans → cannot be treated</w:t>
      </w:r>
    </w:p>
    <w:p w:rsidR="00767993" w:rsidRDefault="00767993" w:rsidP="00767993">
      <w:pPr>
        <w:pStyle w:val="NoSpacing"/>
        <w:numPr>
          <w:ilvl w:val="2"/>
          <w:numId w:val="1"/>
        </w:numPr>
      </w:pPr>
      <w:r>
        <w:t>Clinical Implications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Abrupt (incubation 3-4 days)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Meningitis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Fever | H/A | Vomitting | Neck Stiffness | Altered Mental Status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If untreated → 100% die</w:t>
      </w:r>
    </w:p>
    <w:p w:rsidR="00767993" w:rsidRDefault="00767993" w:rsidP="00767993">
      <w:pPr>
        <w:pStyle w:val="NoSpacing"/>
        <w:numPr>
          <w:ilvl w:val="3"/>
          <w:numId w:val="1"/>
        </w:numPr>
      </w:pPr>
      <w:r>
        <w:t>Meningococcal Fulminant Sepsis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Septicemia | Septic Shock with small skin petechial lesions | Purpuric rash</w:t>
      </w:r>
    </w:p>
    <w:p w:rsidR="00767993" w:rsidRDefault="00767993" w:rsidP="00767993">
      <w:pPr>
        <w:pStyle w:val="NoSpacing"/>
        <w:numPr>
          <w:ilvl w:val="4"/>
          <w:numId w:val="1"/>
        </w:numPr>
      </w:pPr>
      <w:r>
        <w:t>Fatality at 18-53%</w:t>
      </w:r>
    </w:p>
    <w:p w:rsidR="00767993" w:rsidRDefault="00767993" w:rsidP="00767993">
      <w:pPr>
        <w:pStyle w:val="NoSpacing"/>
        <w:numPr>
          <w:ilvl w:val="2"/>
          <w:numId w:val="1"/>
        </w:numPr>
      </w:pPr>
      <w:r>
        <w:t>D: Isolated N meningitis from sterile site</w:t>
      </w:r>
    </w:p>
    <w:p w:rsidR="00767993" w:rsidRDefault="00845B19" w:rsidP="00767993">
      <w:pPr>
        <w:pStyle w:val="NoSpacing"/>
        <w:numPr>
          <w:ilvl w:val="3"/>
          <w:numId w:val="1"/>
        </w:numPr>
      </w:pPr>
      <w:r>
        <w:t>Agglutination</w:t>
      </w:r>
      <w:r w:rsidR="00767993">
        <w:t xml:space="preserve"> | PCR → Determine capsular serotype (for reporting purposes)</w:t>
      </w:r>
    </w:p>
    <w:p w:rsidR="00845B19" w:rsidRDefault="00845B19" w:rsidP="00845B19">
      <w:pPr>
        <w:pStyle w:val="NoSpacing"/>
        <w:numPr>
          <w:ilvl w:val="2"/>
          <w:numId w:val="1"/>
        </w:numPr>
      </w:pPr>
      <w:r>
        <w:t>T: Vaccine</w:t>
      </w:r>
    </w:p>
    <w:p w:rsidR="00845B19" w:rsidRDefault="00845B19" w:rsidP="00845B19">
      <w:pPr>
        <w:pStyle w:val="NoSpacing"/>
        <w:numPr>
          <w:ilvl w:val="3"/>
          <w:numId w:val="1"/>
        </w:numPr>
      </w:pPr>
      <w:r>
        <w:t>Meromune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4 Capsular polysaccharides with NO side effects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Poorly effective in children because not conjugated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No serotype B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Only appropriate for risk groups</w:t>
      </w:r>
    </w:p>
    <w:p w:rsidR="00845B19" w:rsidRDefault="00845B19" w:rsidP="00845B19">
      <w:pPr>
        <w:pStyle w:val="NoSpacing"/>
        <w:numPr>
          <w:ilvl w:val="3"/>
          <w:numId w:val="1"/>
        </w:numPr>
      </w:pPr>
      <w:r>
        <w:t>Menactra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Same 4 serotypes with NO side effects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More durable response because conjugated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Preferrred vaccine + treatment</w:t>
      </w:r>
    </w:p>
    <w:p w:rsidR="00845B19" w:rsidRDefault="00845B19" w:rsidP="00845B19">
      <w:pPr>
        <w:pStyle w:val="NoSpacing"/>
        <w:numPr>
          <w:ilvl w:val="4"/>
          <w:numId w:val="1"/>
        </w:numPr>
      </w:pPr>
      <w:r>
        <w:t>Routine at 11 and 12 yrs with booster at 16 yrs</w:t>
      </w:r>
    </w:p>
    <w:p w:rsidR="007C7DC9" w:rsidRDefault="007C7DC9" w:rsidP="007C7DC9">
      <w:pPr>
        <w:pStyle w:val="NoSpacing"/>
      </w:pPr>
    </w:p>
    <w:p w:rsidR="007C7DC9" w:rsidRDefault="007C7DC9" w:rsidP="007C7DC9">
      <w:pPr>
        <w:pStyle w:val="NoSpacing"/>
      </w:pPr>
    </w:p>
    <w:p w:rsidR="007C7DC9" w:rsidRPr="007650B8" w:rsidRDefault="007C7DC9" w:rsidP="007C7DC9">
      <w:pPr>
        <w:pStyle w:val="NoSpacing"/>
        <w:rPr>
          <w:sz w:val="24"/>
        </w:rPr>
      </w:pPr>
      <w:r w:rsidRPr="007650B8">
        <w:rPr>
          <w:sz w:val="24"/>
        </w:rPr>
        <w:t>Bacteria → Gm- → Coccus → Moraxella</w:t>
      </w:r>
    </w:p>
    <w:p w:rsidR="007C7DC9" w:rsidRPr="007650B8" w:rsidRDefault="00786946" w:rsidP="007C7DC9">
      <w:pPr>
        <w:pStyle w:val="NoSpacing"/>
        <w:numPr>
          <w:ilvl w:val="0"/>
          <w:numId w:val="2"/>
        </w:numPr>
        <w:rPr>
          <w:b/>
        </w:rPr>
      </w:pPr>
      <w:r w:rsidRPr="007650B8">
        <w:rPr>
          <w:b/>
        </w:rPr>
        <w:t>Moraxella catarrhalis</w:t>
      </w:r>
    </w:p>
    <w:p w:rsidR="00786946" w:rsidRDefault="00786946" w:rsidP="00786946">
      <w:pPr>
        <w:pStyle w:val="NoSpacing"/>
        <w:numPr>
          <w:ilvl w:val="1"/>
          <w:numId w:val="2"/>
        </w:numPr>
      </w:pPr>
      <w:r>
        <w:t>Gm- | human-only | Oxidase + | Opportunistic</w:t>
      </w:r>
    </w:p>
    <w:p w:rsidR="00786946" w:rsidRDefault="00786946" w:rsidP="00786946">
      <w:pPr>
        <w:pStyle w:val="NoSpacing"/>
        <w:numPr>
          <w:ilvl w:val="1"/>
          <w:numId w:val="2"/>
        </w:numPr>
      </w:pPr>
      <w:r>
        <w:t>Clinical IMplciations</w:t>
      </w:r>
    </w:p>
    <w:p w:rsidR="00786946" w:rsidRDefault="00786946" w:rsidP="00786946">
      <w:pPr>
        <w:pStyle w:val="NoSpacing"/>
        <w:numPr>
          <w:ilvl w:val="2"/>
          <w:numId w:val="2"/>
        </w:numPr>
      </w:pPr>
      <w:r>
        <w:t>15-20% - Otitis Media in US</w:t>
      </w:r>
    </w:p>
    <w:p w:rsidR="00786946" w:rsidRDefault="00786946" w:rsidP="00786946">
      <w:pPr>
        <w:pStyle w:val="NoSpacing"/>
        <w:numPr>
          <w:ilvl w:val="2"/>
          <w:numId w:val="2"/>
        </w:numPr>
      </w:pPr>
      <w:r>
        <w:t>30% of bacterial exacerbations in COPD patients</w:t>
      </w:r>
    </w:p>
    <w:p w:rsidR="00084B4A" w:rsidRDefault="00084B4A" w:rsidP="00084B4A">
      <w:pPr>
        <w:pStyle w:val="NoSpacing"/>
        <w:numPr>
          <w:ilvl w:val="1"/>
          <w:numId w:val="2"/>
        </w:numPr>
      </w:pPr>
      <w:r>
        <w:t>T: No vaccine | Antibiotic R strains are emerging</w:t>
      </w:r>
    </w:p>
    <w:p w:rsidR="007C7DC9" w:rsidRDefault="007C7DC9" w:rsidP="007C7DC9">
      <w:pPr>
        <w:pStyle w:val="NoSpacing"/>
      </w:pPr>
      <w:bookmarkStart w:id="0" w:name="_GoBack"/>
      <w:bookmarkEnd w:id="0"/>
    </w:p>
    <w:sectPr w:rsidR="007C7DC9" w:rsidSect="001E1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83C" w:rsidRDefault="0031383C" w:rsidP="00BA3699">
      <w:pPr>
        <w:spacing w:after="0" w:line="240" w:lineRule="auto"/>
      </w:pPr>
      <w:r>
        <w:separator/>
      </w:r>
    </w:p>
  </w:endnote>
  <w:endnote w:type="continuationSeparator" w:id="0">
    <w:p w:rsidR="0031383C" w:rsidRDefault="0031383C" w:rsidP="00BA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C" w:rsidRDefault="00282C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544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2C1C" w:rsidRDefault="00282C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8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2C1C" w:rsidRDefault="00282C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C" w:rsidRDefault="00282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83C" w:rsidRDefault="0031383C" w:rsidP="00BA3699">
      <w:pPr>
        <w:spacing w:after="0" w:line="240" w:lineRule="auto"/>
      </w:pPr>
      <w:r>
        <w:separator/>
      </w:r>
    </w:p>
  </w:footnote>
  <w:footnote w:type="continuationSeparator" w:id="0">
    <w:p w:rsidR="0031383C" w:rsidRDefault="0031383C" w:rsidP="00BA3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C" w:rsidRDefault="00282C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99" w:rsidRDefault="00BA3699" w:rsidP="00BA3699">
    <w:pPr>
      <w:pStyle w:val="Header"/>
      <w:jc w:val="right"/>
    </w:pPr>
    <w:r>
      <w:t>Nischal Raya</w:t>
    </w:r>
  </w:p>
  <w:p w:rsidR="00BA3699" w:rsidRDefault="00BA36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1C" w:rsidRDefault="00282C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5pt;height:11.15pt" o:bullet="t">
        <v:imagedata r:id="rId1" o:title="mso98EA"/>
      </v:shape>
    </w:pict>
  </w:numPicBullet>
  <w:abstractNum w:abstractNumId="0">
    <w:nsid w:val="21AF631F"/>
    <w:multiLevelType w:val="hybridMultilevel"/>
    <w:tmpl w:val="955208E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A0654"/>
    <w:multiLevelType w:val="hybridMultilevel"/>
    <w:tmpl w:val="EE2A51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84B4A"/>
    <w:rsid w:val="00186C52"/>
    <w:rsid w:val="001E1B8A"/>
    <w:rsid w:val="001F349C"/>
    <w:rsid w:val="002400A8"/>
    <w:rsid w:val="00282C1C"/>
    <w:rsid w:val="0031383C"/>
    <w:rsid w:val="00370E56"/>
    <w:rsid w:val="00397687"/>
    <w:rsid w:val="003B3D64"/>
    <w:rsid w:val="004D17FC"/>
    <w:rsid w:val="004E253E"/>
    <w:rsid w:val="00600B6E"/>
    <w:rsid w:val="00632958"/>
    <w:rsid w:val="00761EFB"/>
    <w:rsid w:val="007650B8"/>
    <w:rsid w:val="00767993"/>
    <w:rsid w:val="00786946"/>
    <w:rsid w:val="007C7DC9"/>
    <w:rsid w:val="00845B19"/>
    <w:rsid w:val="008A59F9"/>
    <w:rsid w:val="00915499"/>
    <w:rsid w:val="00B30CA6"/>
    <w:rsid w:val="00BA3699"/>
    <w:rsid w:val="00C10868"/>
    <w:rsid w:val="00C43950"/>
    <w:rsid w:val="00D54DB5"/>
    <w:rsid w:val="00E5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17F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3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699"/>
  </w:style>
  <w:style w:type="paragraph" w:styleId="Footer">
    <w:name w:val="footer"/>
    <w:basedOn w:val="Normal"/>
    <w:link w:val="FooterChar"/>
    <w:uiPriority w:val="99"/>
    <w:unhideWhenUsed/>
    <w:rsid w:val="00BA3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99"/>
  </w:style>
  <w:style w:type="paragraph" w:styleId="BalloonText">
    <w:name w:val="Balloon Text"/>
    <w:basedOn w:val="Normal"/>
    <w:link w:val="BalloonTextChar"/>
    <w:uiPriority w:val="99"/>
    <w:semiHidden/>
    <w:unhideWhenUsed/>
    <w:rsid w:val="00B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6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17F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3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699"/>
  </w:style>
  <w:style w:type="paragraph" w:styleId="Footer">
    <w:name w:val="footer"/>
    <w:basedOn w:val="Normal"/>
    <w:link w:val="FooterChar"/>
    <w:uiPriority w:val="99"/>
    <w:unhideWhenUsed/>
    <w:rsid w:val="00BA3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99"/>
  </w:style>
  <w:style w:type="paragraph" w:styleId="BalloonText">
    <w:name w:val="Balloon Text"/>
    <w:basedOn w:val="Normal"/>
    <w:link w:val="BalloonTextChar"/>
    <w:uiPriority w:val="99"/>
    <w:semiHidden/>
    <w:unhideWhenUsed/>
    <w:rsid w:val="00B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6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E7"/>
    <w:rsid w:val="00A14745"/>
    <w:rsid w:val="00DB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E4379577E24A31AF355C10C3D183B3">
    <w:name w:val="B5E4379577E24A31AF355C10C3D183B3"/>
    <w:rsid w:val="00DB7CE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E4379577E24A31AF355C10C3D183B3">
    <w:name w:val="B5E4379577E24A31AF355C10C3D183B3"/>
    <w:rsid w:val="00DB7C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 Raya</dc:creator>
  <cp:lastModifiedBy>Nischal</cp:lastModifiedBy>
  <cp:revision>25</cp:revision>
  <dcterms:created xsi:type="dcterms:W3CDTF">2012-09-19T02:20:00Z</dcterms:created>
  <dcterms:modified xsi:type="dcterms:W3CDTF">2012-09-21T15:00:00Z</dcterms:modified>
</cp:coreProperties>
</file>